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205834" w14:textId="77777777" w:rsidR="007E5F71" w:rsidRPr="007E5F71" w:rsidRDefault="007E5F71" w:rsidP="007E5F71">
      <w:r w:rsidRPr="007E5F71">
        <w:rPr>
          <w:b/>
          <w:bCs/>
        </w:rPr>
        <w:t>PRESS RELEASE</w:t>
      </w:r>
    </w:p>
    <w:p w14:paraId="1AE49324" w14:textId="77777777" w:rsidR="007E5F71" w:rsidRPr="009F732E" w:rsidRDefault="007E5F71" w:rsidP="007E5F71">
      <w:pPr>
        <w:rPr>
          <w:b/>
          <w:bCs/>
          <w:sz w:val="36"/>
          <w:szCs w:val="36"/>
        </w:rPr>
      </w:pPr>
      <w:r w:rsidRPr="009F732E">
        <w:rPr>
          <w:b/>
          <w:bCs/>
          <w:sz w:val="36"/>
          <w:szCs w:val="36"/>
        </w:rPr>
        <w:t>GRAND THEFT AUTO: THE ROAD TO GAMBLING ADDICTION?</w:t>
      </w:r>
    </w:p>
    <w:p w14:paraId="4DED9429" w14:textId="77777777" w:rsidR="007E5F71" w:rsidRPr="009F732E" w:rsidRDefault="007E5F71" w:rsidP="007E5F71">
      <w:pPr>
        <w:rPr>
          <w:b/>
          <w:bCs/>
          <w:sz w:val="28"/>
          <w:szCs w:val="28"/>
        </w:rPr>
      </w:pPr>
      <w:r w:rsidRPr="009F732E">
        <w:rPr>
          <w:b/>
          <w:bCs/>
          <w:i/>
          <w:iCs/>
          <w:sz w:val="28"/>
          <w:szCs w:val="28"/>
        </w:rPr>
        <w:t>Why parents need to think twice before purchasing that new game this Christmas</w:t>
      </w:r>
    </w:p>
    <w:p w14:paraId="2E59B8B2" w14:textId="4CBA95B4" w:rsidR="007E5F71" w:rsidRPr="007E5F71" w:rsidRDefault="007E5F71" w:rsidP="007E5F71">
      <w:r w:rsidRPr="007E5F71">
        <w:rPr>
          <w:b/>
          <w:bCs/>
        </w:rPr>
        <w:t>Issued by the East Coast Regional Drug &amp; Alcohol Task Force</w:t>
      </w:r>
      <w:r>
        <w:rPr>
          <w:b/>
          <w:bCs/>
        </w:rPr>
        <w:t xml:space="preserve"> and Bray Local Drug &amp; Alcohol Task Force</w:t>
      </w:r>
    </w:p>
    <w:p w14:paraId="430F494C" w14:textId="4E3B05E3" w:rsidR="007E5F71" w:rsidRPr="007E5F71" w:rsidRDefault="007E5F71" w:rsidP="009F732E">
      <w:pPr>
        <w:jc w:val="both"/>
      </w:pPr>
      <w:r w:rsidRPr="007E5F71">
        <w:t xml:space="preserve">With </w:t>
      </w:r>
      <w:r w:rsidRPr="007E5F71">
        <w:rPr>
          <w:b/>
          <w:bCs/>
        </w:rPr>
        <w:t>Grand Theft Auto VI due for release on 19 November, just weeks before Christmas</w:t>
      </w:r>
      <w:r w:rsidRPr="007E5F71">
        <w:t>, the Drug &amp; Alcohol Task Force</w:t>
      </w:r>
      <w:r>
        <w:t>s</w:t>
      </w:r>
      <w:r w:rsidRPr="007E5F71">
        <w:t xml:space="preserve"> </w:t>
      </w:r>
      <w:r>
        <w:t>are</w:t>
      </w:r>
      <w:r w:rsidRPr="007E5F71">
        <w:t xml:space="preserve"> asking parents to look beyond the hype and consider an increasingly important question: </w:t>
      </w:r>
      <w:r w:rsidRPr="007E5F71">
        <w:rPr>
          <w:b/>
          <w:bCs/>
        </w:rPr>
        <w:t>where does gaming end and gambling begin?</w:t>
      </w:r>
      <w:r w:rsidR="003133D3">
        <w:rPr>
          <w:b/>
          <w:bCs/>
        </w:rPr>
        <w:t xml:space="preserve"> Australia has banned the online casino in GTA.</w:t>
      </w:r>
    </w:p>
    <w:p w14:paraId="3C7BD123" w14:textId="77777777" w:rsidR="007E5F71" w:rsidRPr="007E5F71" w:rsidRDefault="007E5F71" w:rsidP="009F732E">
      <w:pPr>
        <w:jc w:val="both"/>
      </w:pPr>
      <w:r w:rsidRPr="007E5F71">
        <w:t>Grand Theft Auto is one of the most successful entertainment franchises in the world and the new release will undoubtedly appear on Christmas lists across Ireland. However, the Task Force believes parents purchasing games for teenagers need to be aware of the growing overlap between video gaming, in-game spending and gambling-like experiences.</w:t>
      </w:r>
    </w:p>
    <w:p w14:paraId="7512EE19" w14:textId="77777777" w:rsidR="007E5F71" w:rsidRPr="007E5F71" w:rsidRDefault="007E5F71" w:rsidP="009F732E">
      <w:pPr>
        <w:jc w:val="both"/>
      </w:pPr>
      <w:r w:rsidRPr="007E5F71">
        <w:t xml:space="preserve">This is not simply a theoretical concern. In 2019, </w:t>
      </w:r>
      <w:r w:rsidRPr="007E5F71">
        <w:rPr>
          <w:b/>
          <w:bCs/>
        </w:rPr>
        <w:t>GTA Online introduced the Diamond Casino &amp; Resort</w:t>
      </w:r>
      <w:r w:rsidRPr="007E5F71">
        <w:t>, allowing players to enter a highly realistic virtual casino and participate in activities including roulette, blackjack, poker-style games and slot machines using virtual casino chips. The development attracted international attention, including from the BBC, and gambling functions were reportedly unavailable to players in a number of countries because of local gambling laws.</w:t>
      </w:r>
    </w:p>
    <w:p w14:paraId="724532BC" w14:textId="77777777" w:rsidR="007E5F71" w:rsidRPr="007E5F71" w:rsidRDefault="007E5F71" w:rsidP="009F732E">
      <w:pPr>
        <w:jc w:val="both"/>
      </w:pPr>
      <w:r w:rsidRPr="007E5F71">
        <w:t>The concern goes much wider than one game.</w:t>
      </w:r>
    </w:p>
    <w:p w14:paraId="63B847A9" w14:textId="77777777" w:rsidR="007E5F71" w:rsidRPr="007E5F71" w:rsidRDefault="007E5F71" w:rsidP="009F732E">
      <w:pPr>
        <w:jc w:val="both"/>
      </w:pPr>
      <w:r w:rsidRPr="007E5F71">
        <w:t xml:space="preserve">Over the past decade researchers have examined the increasing presence in video games of </w:t>
      </w:r>
      <w:r w:rsidRPr="007E5F71">
        <w:rPr>
          <w:b/>
          <w:bCs/>
        </w:rPr>
        <w:t>loot boxes, microtransactions, randomised rewards, virtual currencies and simulated gambling</w:t>
      </w:r>
      <w:r w:rsidRPr="007E5F71">
        <w:t>. These features can introduce young players to some of the same psychological mechanisms found in gambling: staking something of value, anticipation, uncertain outcomes, near misses, rewards and the urge to try again.</w:t>
      </w:r>
    </w:p>
    <w:p w14:paraId="2FA217DB" w14:textId="77777777" w:rsidR="007E5F71" w:rsidRPr="007E5F71" w:rsidRDefault="007E5F71" w:rsidP="009F732E">
      <w:pPr>
        <w:jc w:val="both"/>
      </w:pPr>
      <w:r w:rsidRPr="007E5F71">
        <w:t xml:space="preserve">Research published in </w:t>
      </w:r>
      <w:r w:rsidRPr="007E5F71">
        <w:rPr>
          <w:i/>
          <w:iCs/>
        </w:rPr>
        <w:t>Royal Society Open Science</w:t>
      </w:r>
      <w:r w:rsidRPr="007E5F71">
        <w:t xml:space="preserve"> involving 1,155 young people aged 16–18 found a </w:t>
      </w:r>
      <w:r w:rsidRPr="007E5F71">
        <w:rPr>
          <w:b/>
          <w:bCs/>
        </w:rPr>
        <w:t>moderate-to-large association between spending on loot boxes and problem gambling</w:t>
      </w:r>
      <w:r w:rsidRPr="007E5F71">
        <w:t xml:space="preserve">. A national study of 12–16-year-old gamers published in </w:t>
      </w:r>
      <w:r w:rsidRPr="007E5F71">
        <w:rPr>
          <w:i/>
          <w:iCs/>
        </w:rPr>
        <w:t>Addictive Behaviors</w:t>
      </w:r>
      <w:r w:rsidRPr="007E5F71">
        <w:t xml:space="preserve"> also found a significant relationship between engagement with loot boxes and problem gambling severity.</w:t>
      </w:r>
    </w:p>
    <w:p w14:paraId="7879F0E4" w14:textId="77777777" w:rsidR="007E5F71" w:rsidRPr="007E5F71" w:rsidRDefault="007E5F71" w:rsidP="009F732E">
      <w:pPr>
        <w:jc w:val="both"/>
      </w:pPr>
      <w:r w:rsidRPr="007E5F71">
        <w:t xml:space="preserve">More recent research published in the </w:t>
      </w:r>
      <w:r w:rsidRPr="007E5F71">
        <w:rPr>
          <w:i/>
          <w:iCs/>
        </w:rPr>
        <w:t>Journal of Behavioral Addictions</w:t>
      </w:r>
      <w:r w:rsidRPr="007E5F71">
        <w:t xml:space="preserve"> examined young people aged 12–17 and found that, even after taking participation in conventional gambling into account, recent loot-box purchasing remained associated with substantially increased odds of at-risk and problem gambling.</w:t>
      </w:r>
    </w:p>
    <w:p w14:paraId="791B4DD7" w14:textId="77777777" w:rsidR="007E5F71" w:rsidRPr="007E5F71" w:rsidRDefault="007E5F71" w:rsidP="009F732E">
      <w:pPr>
        <w:jc w:val="both"/>
      </w:pPr>
      <w:r w:rsidRPr="007E5F71">
        <w:t xml:space="preserve">The Task Force stresses that this research </w:t>
      </w:r>
      <w:r w:rsidRPr="007E5F71">
        <w:rPr>
          <w:b/>
          <w:bCs/>
        </w:rPr>
        <w:t>does not prove that playing a particular video game causes someone to develop a gambling addiction</w:t>
      </w:r>
      <w:r w:rsidRPr="007E5F71">
        <w:t>. The concern is about exposure, normalisation and the increasingly blurred boundary between gaming and gambling — particularly during adolescence, when attitudes towards money, risk and reward are still developing.</w:t>
      </w:r>
    </w:p>
    <w:p w14:paraId="27862A6B" w14:textId="77777777" w:rsidR="007E5F71" w:rsidRPr="007E5F71" w:rsidRDefault="007E5F71" w:rsidP="009F732E">
      <w:pPr>
        <w:jc w:val="both"/>
      </w:pPr>
      <w:r w:rsidRPr="007E5F71">
        <w:t xml:space="preserve">Parents should therefore ask more than simply, </w:t>
      </w:r>
      <w:r w:rsidRPr="007E5F71">
        <w:rPr>
          <w:i/>
          <w:iCs/>
        </w:rPr>
        <w:t>“Is my child old enough to play this?”</w:t>
      </w:r>
      <w:r w:rsidRPr="007E5F71">
        <w:t xml:space="preserve"> They should also ask: </w:t>
      </w:r>
      <w:r w:rsidRPr="007E5F71">
        <w:rPr>
          <w:b/>
          <w:bCs/>
        </w:rPr>
        <w:t>Does the game contain in-game purchases? Is real money being converted into virtual currency? Are there chance-based rewards? Are casino games or gambling behaviours being normalised? And do I know how much my teenager is spending while playing?</w:t>
      </w:r>
    </w:p>
    <w:p w14:paraId="61160158" w14:textId="77777777" w:rsidR="007E5F71" w:rsidRPr="007E5F71" w:rsidRDefault="007E5F71" w:rsidP="009F732E">
      <w:pPr>
        <w:jc w:val="both"/>
      </w:pPr>
      <w:r w:rsidRPr="007E5F71">
        <w:lastRenderedPageBreak/>
        <w:t xml:space="preserve">This is particularly relevant to the Grand Theft Auto franchise. At the time of writing, the final European age rating for GTA VI has not yet been confirmed, while its predecessor, GTA V, received a </w:t>
      </w:r>
      <w:r w:rsidRPr="007E5F71">
        <w:rPr>
          <w:b/>
          <w:bCs/>
        </w:rPr>
        <w:t>PEGI 18 rating</w:t>
      </w:r>
      <w:r w:rsidRPr="007E5F71">
        <w:t xml:space="preserve"> and was explicitly intended for adults.</w:t>
      </w:r>
    </w:p>
    <w:p w14:paraId="243E68D5" w14:textId="13415E62" w:rsidR="007E5F71" w:rsidRPr="007E5F71" w:rsidRDefault="007E5F71" w:rsidP="009F732E">
      <w:pPr>
        <w:jc w:val="both"/>
      </w:pPr>
      <w:r w:rsidRPr="007E5F71">
        <w:t>The Drug &amp; Alcohol Task Force</w:t>
      </w:r>
      <w:r>
        <w:t>’s</w:t>
      </w:r>
      <w:r w:rsidRPr="007E5F71">
        <w:t xml:space="preserve"> believe gambling education now needs to begin </w:t>
      </w:r>
      <w:r w:rsidRPr="007E5F71">
        <w:rPr>
          <w:b/>
          <w:bCs/>
        </w:rPr>
        <w:t>before</w:t>
      </w:r>
      <w:r w:rsidRPr="007E5F71">
        <w:t xml:space="preserve"> a young person opens their first betting account. For many young people, their earliest experience of gambling concepts may not take place in a bookmaker’s shop or on a betting app — it may take place while sitting in their bedroom playing a video game.</w:t>
      </w:r>
    </w:p>
    <w:p w14:paraId="09488162" w14:textId="77777777" w:rsidR="007E5F71" w:rsidRPr="007E5F71" w:rsidRDefault="007E5F71" w:rsidP="009F732E">
      <w:pPr>
        <w:jc w:val="both"/>
      </w:pPr>
      <w:r w:rsidRPr="007E5F71">
        <w:t xml:space="preserve">For this reason, the Task Force runs a dedicated </w:t>
      </w:r>
      <w:r w:rsidRPr="007E5F71">
        <w:rPr>
          <w:b/>
          <w:bCs/>
        </w:rPr>
        <w:t>Gambling Initiative across schools and communities</w:t>
      </w:r>
      <w:r w:rsidRPr="007E5F71">
        <w:t>, helping young people, parents and communities understand gambling harm, gaming, risk, advertising and the increasingly sophisticated ways gambling behaviours can be introduced and normalised.</w:t>
      </w:r>
    </w:p>
    <w:p w14:paraId="3D984373" w14:textId="72FA348A" w:rsidR="007E5F71" w:rsidRPr="007E5F71" w:rsidRDefault="007E5F71" w:rsidP="009F732E">
      <w:pPr>
        <w:jc w:val="both"/>
      </w:pPr>
      <w:r w:rsidRPr="007E5F71">
        <w:t xml:space="preserve">The initiative is delivered by </w:t>
      </w:r>
      <w:r w:rsidRPr="007E5F71">
        <w:rPr>
          <w:b/>
          <w:bCs/>
        </w:rPr>
        <w:t xml:space="preserve">Tony O’Reilly, widely known through his bestselling and award-winning book </w:t>
      </w:r>
      <w:r w:rsidRPr="007E5F71">
        <w:rPr>
          <w:b/>
          <w:bCs/>
          <w:i/>
          <w:iCs/>
        </w:rPr>
        <w:t>Tony10</w:t>
      </w:r>
      <w:r w:rsidRPr="007E5F71">
        <w:rPr>
          <w:b/>
          <w:bCs/>
        </w:rPr>
        <w:t>.</w:t>
      </w:r>
      <w:r w:rsidRPr="007E5F71">
        <w:t xml:space="preserve"> Tony brings an extraordinary combination of lived experience and professional expertise. His own gambling addiction escalated from an initial £1 bet to gambling millions of euro, the loss of his home and family life, </w:t>
      </w:r>
      <w:r w:rsidR="004673A2">
        <w:t>stealing millions of euros</w:t>
      </w:r>
      <w:r w:rsidRPr="007E5F71">
        <w:t xml:space="preserve"> and ultimately imprisonment. Today, he holds a BSc in Counselling &amp; Psychotherapy, is an accredited counsellor specialising in gambling addiction, and has delivered gambling education to thousands of students throughout Ireland.</w:t>
      </w:r>
    </w:p>
    <w:p w14:paraId="15606B1F" w14:textId="77777777" w:rsidR="007E5F71" w:rsidRPr="007E5F71" w:rsidRDefault="007E5F71" w:rsidP="009F732E">
      <w:pPr>
        <w:jc w:val="both"/>
      </w:pPr>
      <w:r w:rsidRPr="007E5F71">
        <w:t>His story demonstrates better than almost any statistic that gambling addiction rarely begins with somebody believing they will become addicted. It can begin with excitement, a win, a buzz — and the belief that it is all harmless fun.</w:t>
      </w:r>
    </w:p>
    <w:p w14:paraId="2EFA3DA8" w14:textId="77777777" w:rsidR="007E5F71" w:rsidRPr="007E5F71" w:rsidRDefault="007E5F71" w:rsidP="009F732E">
      <w:pPr>
        <w:jc w:val="both"/>
      </w:pPr>
      <w:r w:rsidRPr="007E5F71">
        <w:rPr>
          <w:b/>
          <w:bCs/>
        </w:rPr>
        <w:t>This Christmas, the Task Force is asking parents not simply to buy the game their teenager wants, but to understand the game they are buying.</w:t>
      </w:r>
    </w:p>
    <w:p w14:paraId="511C351D" w14:textId="385A17B4" w:rsidR="007E5F71" w:rsidRPr="007E5F71" w:rsidRDefault="007E5F71" w:rsidP="009F732E">
      <w:pPr>
        <w:jc w:val="both"/>
      </w:pPr>
      <w:r w:rsidRPr="007E5F71">
        <w:rPr>
          <w:b/>
          <w:bCs/>
        </w:rPr>
        <w:t>For further information on the Drug &amp; Alcohol Task Force Gambling Initiative, or to arrange an interview with Tony O’Reilly, contact:</w:t>
      </w:r>
    </w:p>
    <w:p w14:paraId="520AED05" w14:textId="77EB21AD" w:rsidR="009F732E" w:rsidRDefault="007E5F71" w:rsidP="009F732E">
      <w:pPr>
        <w:jc w:val="both"/>
      </w:pPr>
      <w:r w:rsidRPr="007E5F71">
        <w:rPr>
          <w:b/>
          <w:bCs/>
        </w:rPr>
        <w:t>Tony O’Reilly – Gambling Initiative:</w:t>
      </w:r>
      <w:r w:rsidRPr="007E5F71">
        <w:t xml:space="preserve"> </w:t>
      </w:r>
      <w:r w:rsidR="009F732E">
        <w:t xml:space="preserve">: 086 8349503  E: tony.oreilly@extern.org  </w:t>
      </w:r>
    </w:p>
    <w:p w14:paraId="422E86A2" w14:textId="01FF19B0" w:rsidR="007E5F71" w:rsidRPr="007E5F71" w:rsidRDefault="007E5F71" w:rsidP="009F732E">
      <w:pPr>
        <w:jc w:val="both"/>
      </w:pPr>
      <w:r w:rsidRPr="007E5F71">
        <w:rPr>
          <w:b/>
          <w:bCs/>
        </w:rPr>
        <w:t>Colm Walsh – Task Force Coordinator:</w:t>
      </w:r>
      <w:r w:rsidRPr="007E5F71">
        <w:t xml:space="preserve"> 087 986 6217</w:t>
      </w:r>
      <w:r w:rsidR="009F732E">
        <w:t xml:space="preserve"> E; colm.walsh3@hse.ie</w:t>
      </w:r>
    </w:p>
    <w:p w14:paraId="0DEFBA50" w14:textId="77777777" w:rsidR="007E5F71" w:rsidRDefault="007E5F71" w:rsidP="009F732E">
      <w:pPr>
        <w:jc w:val="both"/>
        <w:rPr>
          <w:b/>
          <w:bCs/>
        </w:rPr>
      </w:pPr>
      <w:r w:rsidRPr="007E5F71">
        <w:rPr>
          <w:b/>
          <w:bCs/>
        </w:rPr>
        <w:t>ENDS</w:t>
      </w:r>
    </w:p>
    <w:p w14:paraId="72491376" w14:textId="632AB6A8" w:rsidR="007E5F71" w:rsidRPr="007E5F71" w:rsidRDefault="007E5F71" w:rsidP="009F732E">
      <w:pPr>
        <w:jc w:val="both"/>
      </w:pPr>
      <w:r>
        <w:rPr>
          <w:b/>
          <w:bCs/>
        </w:rPr>
        <w:t>The Task Forces are funded by The Department of Health and HSE Social Inclusion</w:t>
      </w:r>
      <w:r w:rsidR="001032B1">
        <w:rPr>
          <w:b/>
          <w:bCs/>
        </w:rPr>
        <w:t xml:space="preserve"> and is administered by the Problem Gambling Programme at Extern.</w:t>
      </w:r>
    </w:p>
    <w:p w14:paraId="40CB5126" w14:textId="77777777" w:rsidR="007E5F71" w:rsidRPr="007E5F71" w:rsidRDefault="007E5F71" w:rsidP="009F732E">
      <w:r w:rsidRPr="007E5F71">
        <w:rPr>
          <w:b/>
          <w:bCs/>
        </w:rPr>
        <w:t>Academic research referenced:</w:t>
      </w:r>
      <w:r w:rsidRPr="007E5F71">
        <w:br/>
        <w:t xml:space="preserve">Zendle, D., Meyer, R. &amp; Over, H. (2019), </w:t>
      </w:r>
      <w:r w:rsidRPr="007E5F71">
        <w:rPr>
          <w:i/>
          <w:iCs/>
        </w:rPr>
        <w:t>Adolescents and loot boxes: links with problem gambling and motivations for purchase</w:t>
      </w:r>
      <w:r w:rsidRPr="007E5F71">
        <w:t xml:space="preserve">, </w:t>
      </w:r>
      <w:r w:rsidRPr="007E5F71">
        <w:rPr>
          <w:b/>
          <w:bCs/>
        </w:rPr>
        <w:t>Royal Society Open Science</w:t>
      </w:r>
      <w:r w:rsidRPr="007E5F71">
        <w:t>, 6:190049.</w:t>
      </w:r>
      <w:r w:rsidRPr="007E5F71">
        <w:br/>
      </w:r>
      <w:r w:rsidRPr="007E5F71">
        <w:rPr>
          <w:i/>
          <w:iCs/>
        </w:rPr>
        <w:t>Loot box engagement and problem gambling among adolescent gamers: Findings from a national survey</w:t>
      </w:r>
      <w:r w:rsidRPr="007E5F71">
        <w:t xml:space="preserve"> (2020), </w:t>
      </w:r>
      <w:r w:rsidRPr="007E5F71">
        <w:rPr>
          <w:b/>
          <w:bCs/>
        </w:rPr>
        <w:t>Addictive Behaviors</w:t>
      </w:r>
      <w:r w:rsidRPr="007E5F71">
        <w:t>, Vol. 103, 106254.</w:t>
      </w:r>
      <w:r w:rsidRPr="007E5F71">
        <w:br/>
        <w:t xml:space="preserve">Hing, N. et al. (2022), </w:t>
      </w:r>
      <w:r w:rsidRPr="007E5F71">
        <w:rPr>
          <w:i/>
          <w:iCs/>
        </w:rPr>
        <w:t>Loot box purchasing is linked to problem gambling in adolescents when controlling for monetary gambling participation</w:t>
      </w:r>
      <w:r w:rsidRPr="007E5F71">
        <w:t xml:space="preserve">, </w:t>
      </w:r>
      <w:r w:rsidRPr="007E5F71">
        <w:rPr>
          <w:b/>
          <w:bCs/>
        </w:rPr>
        <w:t>Journal of Behavioral Addictions</w:t>
      </w:r>
      <w:r w:rsidRPr="007E5F71">
        <w:t>, 11(2), 396–405.</w:t>
      </w:r>
    </w:p>
    <w:p w14:paraId="0F193200" w14:textId="77777777" w:rsidR="000C1336" w:rsidRDefault="000C1336"/>
    <w:sectPr w:rsidR="000C13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F71"/>
    <w:rsid w:val="000C1336"/>
    <w:rsid w:val="001032B1"/>
    <w:rsid w:val="003133D3"/>
    <w:rsid w:val="004673A2"/>
    <w:rsid w:val="00595399"/>
    <w:rsid w:val="007B2F2F"/>
    <w:rsid w:val="007C6DBD"/>
    <w:rsid w:val="007E5F71"/>
    <w:rsid w:val="009F732E"/>
    <w:rsid w:val="00A179A7"/>
    <w:rsid w:val="00AF766C"/>
    <w:rsid w:val="00B02B1E"/>
    <w:rsid w:val="00D9294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C4209"/>
  <w15:chartTrackingRefBased/>
  <w15:docId w15:val="{BF71BB7A-B03D-4F7B-8A65-3B1EF3C48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5F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E5F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E5F7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E5F7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E5F7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E5F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5F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5F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5F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5F7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E5F7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E5F7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E5F7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E5F7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E5F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5F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5F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5F71"/>
    <w:rPr>
      <w:rFonts w:eastAsiaTheme="majorEastAsia" w:cstheme="majorBidi"/>
      <w:color w:val="272727" w:themeColor="text1" w:themeTint="D8"/>
    </w:rPr>
  </w:style>
  <w:style w:type="paragraph" w:styleId="Title">
    <w:name w:val="Title"/>
    <w:basedOn w:val="Normal"/>
    <w:next w:val="Normal"/>
    <w:link w:val="TitleChar"/>
    <w:uiPriority w:val="10"/>
    <w:qFormat/>
    <w:rsid w:val="007E5F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5F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5F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5F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5F71"/>
    <w:pPr>
      <w:spacing w:before="160"/>
      <w:jc w:val="center"/>
    </w:pPr>
    <w:rPr>
      <w:i/>
      <w:iCs/>
      <w:color w:val="404040" w:themeColor="text1" w:themeTint="BF"/>
    </w:rPr>
  </w:style>
  <w:style w:type="character" w:customStyle="1" w:styleId="QuoteChar">
    <w:name w:val="Quote Char"/>
    <w:basedOn w:val="DefaultParagraphFont"/>
    <w:link w:val="Quote"/>
    <w:uiPriority w:val="29"/>
    <w:rsid w:val="007E5F71"/>
    <w:rPr>
      <w:i/>
      <w:iCs/>
      <w:color w:val="404040" w:themeColor="text1" w:themeTint="BF"/>
    </w:rPr>
  </w:style>
  <w:style w:type="paragraph" w:styleId="ListParagraph">
    <w:name w:val="List Paragraph"/>
    <w:basedOn w:val="Normal"/>
    <w:uiPriority w:val="34"/>
    <w:qFormat/>
    <w:rsid w:val="007E5F71"/>
    <w:pPr>
      <w:ind w:left="720"/>
      <w:contextualSpacing/>
    </w:pPr>
  </w:style>
  <w:style w:type="character" w:styleId="IntenseEmphasis">
    <w:name w:val="Intense Emphasis"/>
    <w:basedOn w:val="DefaultParagraphFont"/>
    <w:uiPriority w:val="21"/>
    <w:qFormat/>
    <w:rsid w:val="007E5F71"/>
    <w:rPr>
      <w:i/>
      <w:iCs/>
      <w:color w:val="2F5496" w:themeColor="accent1" w:themeShade="BF"/>
    </w:rPr>
  </w:style>
  <w:style w:type="paragraph" w:styleId="IntenseQuote">
    <w:name w:val="Intense Quote"/>
    <w:basedOn w:val="Normal"/>
    <w:next w:val="Normal"/>
    <w:link w:val="IntenseQuoteChar"/>
    <w:uiPriority w:val="30"/>
    <w:qFormat/>
    <w:rsid w:val="007E5F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E5F71"/>
    <w:rPr>
      <w:i/>
      <w:iCs/>
      <w:color w:val="2F5496" w:themeColor="accent1" w:themeShade="BF"/>
    </w:rPr>
  </w:style>
  <w:style w:type="character" w:styleId="IntenseReference">
    <w:name w:val="Intense Reference"/>
    <w:basedOn w:val="DefaultParagraphFont"/>
    <w:uiPriority w:val="32"/>
    <w:qFormat/>
    <w:rsid w:val="007E5F7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3494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896</Words>
  <Characters>5112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Colm Walsh</dc:creator>
  <cp:keywords/>
  <dc:description/>
  <cp:lastModifiedBy>Colm Walsh</cp:lastModifiedBy>
  <cp:revision>5</cp:revision>
  <dcterms:created xsi:type="dcterms:W3CDTF">2026-09-14T15:39:00Z</dcterms:created>
  <dcterms:modified xsi:type="dcterms:W3CDTF">2026-09-23T06:30:00Z</dcterms:modified>
</cp:coreProperties>
</file>